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3EA5" w:rsidRPr="004968C9" w:rsidRDefault="00503EA5" w:rsidP="001C14DB">
      <w:pPr>
        <w:spacing w:after="12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PERSPECTIVAS AMBIENTAIS PARA A BACIA HIDROGRÁFICA DO JUNDIAÍ MIRIM A PARTIR DE INSTRUMENTOS PREVISTOS PELA LEGISLAÇÃO URBANÍSTICA </w:t>
      </w:r>
    </w:p>
    <w:p w:rsidR="00503EA5" w:rsidRDefault="00503EA5" w:rsidP="001C14DB">
      <w:pPr>
        <w:spacing w:after="12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ARAÚJO</w:t>
      </w:r>
      <w:r w:rsidRPr="004968C9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Letícia Medeiros</w:t>
      </w:r>
      <w:r w:rsidRPr="004968C9">
        <w:rPr>
          <w:rFonts w:ascii="Times New Roman" w:hAnsi="Times New Roman"/>
          <w:sz w:val="24"/>
          <w:szCs w:val="24"/>
          <w:vertAlign w:val="superscript"/>
        </w:rPr>
        <w:t>1</w:t>
      </w:r>
      <w:r w:rsidRPr="004968C9">
        <w:rPr>
          <w:rFonts w:ascii="Times New Roman" w:hAnsi="Times New Roman"/>
          <w:sz w:val="24"/>
          <w:szCs w:val="24"/>
        </w:rPr>
        <w:t xml:space="preserve">; </w:t>
      </w:r>
      <w:r>
        <w:rPr>
          <w:rFonts w:ascii="Times New Roman" w:hAnsi="Times New Roman"/>
          <w:sz w:val="24"/>
          <w:szCs w:val="24"/>
        </w:rPr>
        <w:t>GOMES</w:t>
      </w:r>
      <w:r w:rsidRPr="004968C9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Débora Leite</w:t>
      </w:r>
      <w:r w:rsidRPr="004968C9"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>; LIMA, Flaviano Agostinho de</w:t>
      </w:r>
      <w:r w:rsidRPr="002761E3"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sz w:val="24"/>
          <w:szCs w:val="24"/>
          <w:vertAlign w:val="superscript"/>
        </w:rPr>
        <w:t>;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03EA5" w:rsidRPr="00AD5E04" w:rsidRDefault="00503EA5" w:rsidP="00AD5E04">
      <w:pPr>
        <w:spacing w:after="120" w:line="240" w:lineRule="auto"/>
        <w:jc w:val="center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</w:rPr>
        <w:t>MEDEIROS, Gerson Araújo</w:t>
      </w:r>
      <w:r>
        <w:rPr>
          <w:rFonts w:ascii="Times New Roman" w:hAnsi="Times New Roman"/>
          <w:sz w:val="24"/>
          <w:szCs w:val="24"/>
          <w:vertAlign w:val="superscript"/>
        </w:rPr>
        <w:t>4</w:t>
      </w:r>
      <w:r>
        <w:rPr>
          <w:rFonts w:ascii="Times New Roman" w:hAnsi="Times New Roman"/>
          <w:sz w:val="24"/>
          <w:szCs w:val="24"/>
        </w:rPr>
        <w:t>, RIBEIRO, Admilson Irio</w:t>
      </w:r>
      <w:r>
        <w:rPr>
          <w:rFonts w:ascii="Times New Roman" w:hAnsi="Times New Roman"/>
          <w:sz w:val="24"/>
          <w:szCs w:val="24"/>
          <w:vertAlign w:val="superscript"/>
        </w:rPr>
        <w:t xml:space="preserve">5  </w:t>
      </w:r>
    </w:p>
    <w:p w:rsidR="00503EA5" w:rsidRPr="00D25B2C" w:rsidRDefault="00503EA5" w:rsidP="00AD5E0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D25B2C">
        <w:rPr>
          <w:rFonts w:ascii="Times New Roman" w:hAnsi="Times New Roman"/>
          <w:sz w:val="20"/>
          <w:szCs w:val="20"/>
          <w:vertAlign w:val="superscript"/>
        </w:rPr>
        <w:t xml:space="preserve">1 </w:t>
      </w:r>
      <w:r w:rsidRPr="00D25B2C">
        <w:rPr>
          <w:rFonts w:ascii="Times New Roman" w:hAnsi="Times New Roman"/>
          <w:sz w:val="20"/>
          <w:szCs w:val="20"/>
        </w:rPr>
        <w:t xml:space="preserve">Mestranda em Ciências Ambientais, UNESP Sorocaba (ICTS), e-mail: </w:t>
      </w:r>
      <w:hyperlink r:id="rId6" w:history="1">
        <w:r w:rsidRPr="00D25B2C">
          <w:rPr>
            <w:rStyle w:val="Hyperlink"/>
            <w:rFonts w:ascii="Times New Roman" w:hAnsi="Times New Roman"/>
            <w:sz w:val="20"/>
            <w:szCs w:val="20"/>
          </w:rPr>
          <w:t>lm.araujo@unesp.br</w:t>
        </w:r>
      </w:hyperlink>
    </w:p>
    <w:p w:rsidR="00503EA5" w:rsidRPr="00D25B2C" w:rsidRDefault="00503EA5" w:rsidP="00AD5E0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D25B2C">
        <w:rPr>
          <w:rFonts w:ascii="Times New Roman" w:hAnsi="Times New Roman"/>
          <w:sz w:val="20"/>
          <w:szCs w:val="20"/>
          <w:vertAlign w:val="superscript"/>
        </w:rPr>
        <w:t>2</w:t>
      </w:r>
      <w:r w:rsidRPr="00D25B2C">
        <w:rPr>
          <w:rFonts w:ascii="Times New Roman" w:hAnsi="Times New Roman"/>
          <w:sz w:val="20"/>
          <w:szCs w:val="20"/>
        </w:rPr>
        <w:t xml:space="preserve">Mestranda em Ciências Ambientais, UNESP </w:t>
      </w:r>
      <w:bookmarkStart w:id="0" w:name="_GoBack"/>
      <w:bookmarkEnd w:id="0"/>
      <w:r w:rsidRPr="00D25B2C">
        <w:rPr>
          <w:rFonts w:ascii="Times New Roman" w:hAnsi="Times New Roman"/>
          <w:sz w:val="20"/>
          <w:szCs w:val="20"/>
        </w:rPr>
        <w:t>Sorocaba (ICTS),</w:t>
      </w:r>
    </w:p>
    <w:p w:rsidR="00503EA5" w:rsidRPr="00D25B2C" w:rsidRDefault="00503EA5" w:rsidP="00AD5E0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D25B2C">
        <w:rPr>
          <w:rFonts w:ascii="Times New Roman" w:hAnsi="Times New Roman"/>
          <w:sz w:val="20"/>
          <w:szCs w:val="20"/>
          <w:vertAlign w:val="superscript"/>
        </w:rPr>
        <w:t>3</w:t>
      </w:r>
      <w:r>
        <w:rPr>
          <w:rFonts w:ascii="Times New Roman" w:hAnsi="Times New Roman"/>
          <w:sz w:val="20"/>
          <w:szCs w:val="20"/>
        </w:rPr>
        <w:t>Doutorando</w:t>
      </w:r>
      <w:r w:rsidRPr="00D25B2C">
        <w:rPr>
          <w:rFonts w:ascii="Times New Roman" w:hAnsi="Times New Roman"/>
          <w:sz w:val="20"/>
          <w:szCs w:val="20"/>
        </w:rPr>
        <w:t xml:space="preserve"> em Ciências Ambientais, UNESP Sorocaba (ICTS),</w:t>
      </w:r>
    </w:p>
    <w:p w:rsidR="00503EA5" w:rsidRDefault="00503EA5" w:rsidP="002761E3">
      <w:pPr>
        <w:spacing w:after="12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vertAlign w:val="superscript"/>
        </w:rPr>
        <w:t>4</w:t>
      </w:r>
      <w:r>
        <w:rPr>
          <w:rFonts w:ascii="Times New Roman" w:hAnsi="Times New Roman"/>
          <w:sz w:val="20"/>
          <w:szCs w:val="20"/>
        </w:rPr>
        <w:t xml:space="preserve"> Professor da disciplina de Gestão Ambiental do PPGCA, Universidade Estadual Paulista</w:t>
      </w:r>
      <w:r w:rsidRPr="006B3B91">
        <w:rPr>
          <w:rFonts w:ascii="Times New Roman" w:hAnsi="Times New Roman"/>
          <w:sz w:val="20"/>
          <w:szCs w:val="20"/>
        </w:rPr>
        <w:t xml:space="preserve"> (</w:t>
      </w:r>
      <w:r>
        <w:rPr>
          <w:rFonts w:ascii="Times New Roman" w:hAnsi="Times New Roman"/>
          <w:sz w:val="20"/>
          <w:szCs w:val="20"/>
        </w:rPr>
        <w:t>UNESP)</w:t>
      </w:r>
    </w:p>
    <w:p w:rsidR="00503EA5" w:rsidRDefault="00503EA5" w:rsidP="00AD5E04">
      <w:pPr>
        <w:spacing w:after="12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vertAlign w:val="superscript"/>
        </w:rPr>
        <w:t>5</w:t>
      </w:r>
      <w:r>
        <w:rPr>
          <w:rFonts w:ascii="Times New Roman" w:hAnsi="Times New Roman"/>
          <w:sz w:val="20"/>
          <w:szCs w:val="20"/>
        </w:rPr>
        <w:t xml:space="preserve"> Professor da disciplina Recuperação e Restauração de Terras do PPGCA, Universidade Estadual Paulista</w:t>
      </w:r>
      <w:r w:rsidRPr="006B3B91">
        <w:rPr>
          <w:rFonts w:ascii="Times New Roman" w:hAnsi="Times New Roman"/>
          <w:sz w:val="20"/>
          <w:szCs w:val="20"/>
        </w:rPr>
        <w:t xml:space="preserve"> (</w:t>
      </w:r>
      <w:r>
        <w:rPr>
          <w:rFonts w:ascii="Times New Roman" w:hAnsi="Times New Roman"/>
          <w:sz w:val="20"/>
          <w:szCs w:val="20"/>
        </w:rPr>
        <w:t>UNESP)</w:t>
      </w:r>
    </w:p>
    <w:p w:rsidR="00503EA5" w:rsidRPr="00394541" w:rsidRDefault="00503EA5" w:rsidP="00394541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394541">
        <w:rPr>
          <w:rFonts w:ascii="Times New Roman" w:hAnsi="Times New Roman"/>
          <w:b/>
          <w:sz w:val="24"/>
          <w:szCs w:val="24"/>
        </w:rPr>
        <w:t xml:space="preserve">RESUMO </w:t>
      </w:r>
    </w:p>
    <w:p w:rsidR="00503EA5" w:rsidRPr="00394541" w:rsidRDefault="00503EA5" w:rsidP="00394541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96581">
        <w:rPr>
          <w:rFonts w:ascii="Times New Roman" w:hAnsi="Times New Roman"/>
          <w:sz w:val="24"/>
          <w:szCs w:val="24"/>
        </w:rPr>
        <w:t xml:space="preserve">O presente estudo consiste em relacionar as legislações urbanísticas, em especial os planos diretores em vigência </w:t>
      </w:r>
      <w:r w:rsidRPr="00394541">
        <w:rPr>
          <w:rFonts w:ascii="Times New Roman" w:hAnsi="Times New Roman"/>
          <w:sz w:val="24"/>
          <w:szCs w:val="24"/>
        </w:rPr>
        <w:t>dos municípios de Jundiaí, Jarinu e Campo Limpo Paulista que compõem a bacia hidrográfica do rio Jundiaí-Mirim</w:t>
      </w:r>
      <w:r w:rsidRPr="00296581">
        <w:rPr>
          <w:rFonts w:ascii="Times New Roman" w:hAnsi="Times New Roman"/>
          <w:sz w:val="24"/>
          <w:szCs w:val="24"/>
        </w:rPr>
        <w:t xml:space="preserve"> e suas perspectivas ambientais para a mesma. A bacia apresenta uma grande importância para a região no quesito de captação de água para a população. Foram analisados os zoneamentos previstos em cada plano diretor e seus ordenamentos de uso e ocupação do solo e as implicações de sua gestão. Foi identificado que o perímetro da bacia está inserido em áreas de desenvolvimento industrial no município de Jarinu, áreas de qualificação urbana no município de Jundiaí e áreas de desenvolvimento agroindustrial em Campo Limpo Paulista que influenciam diretamente nos problemas ambientais encontrados na bacia, como carga de sedimentos e poluição difusa.  </w:t>
      </w:r>
    </w:p>
    <w:p w:rsidR="00503EA5" w:rsidRPr="00394541" w:rsidRDefault="00503EA5" w:rsidP="00B5587D">
      <w:pPr>
        <w:spacing w:after="120" w:line="360" w:lineRule="auto"/>
        <w:jc w:val="both"/>
        <w:rPr>
          <w:rFonts w:ascii="Times New Roman" w:hAnsi="Times New Roman"/>
          <w:sz w:val="24"/>
          <w:szCs w:val="24"/>
        </w:rPr>
      </w:pPr>
      <w:r w:rsidRPr="00394541">
        <w:rPr>
          <w:rFonts w:ascii="Times New Roman" w:hAnsi="Times New Roman"/>
          <w:b/>
          <w:sz w:val="24"/>
          <w:szCs w:val="24"/>
        </w:rPr>
        <w:t>Palavras-chave:</w:t>
      </w:r>
      <w:r w:rsidRPr="00394541">
        <w:rPr>
          <w:rFonts w:ascii="Times New Roman" w:hAnsi="Times New Roman"/>
          <w:sz w:val="24"/>
          <w:szCs w:val="24"/>
        </w:rPr>
        <w:t xml:space="preserve"> Plano diretor; Urbanismo; Gestão de Bacias Hidrográficas.</w:t>
      </w:r>
    </w:p>
    <w:p w:rsidR="00503EA5" w:rsidRPr="00394541" w:rsidRDefault="00503EA5" w:rsidP="00394541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394541">
        <w:rPr>
          <w:rFonts w:ascii="Times New Roman" w:hAnsi="Times New Roman"/>
          <w:b/>
          <w:sz w:val="24"/>
          <w:szCs w:val="24"/>
        </w:rPr>
        <w:t xml:space="preserve">1 - INTRODUÇÃO </w:t>
      </w:r>
    </w:p>
    <w:p w:rsidR="00503EA5" w:rsidRPr="00394541" w:rsidRDefault="00503EA5" w:rsidP="00394541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394541">
        <w:rPr>
          <w:rFonts w:ascii="Times New Roman" w:hAnsi="Times New Roman"/>
          <w:sz w:val="24"/>
          <w:szCs w:val="24"/>
        </w:rPr>
        <w:t>Segundo o Estatuto da Cidade (2001), o Pl</w:t>
      </w:r>
      <w:r w:rsidRPr="00296581">
        <w:rPr>
          <w:rFonts w:ascii="Times New Roman" w:hAnsi="Times New Roman"/>
          <w:sz w:val="24"/>
          <w:szCs w:val="24"/>
        </w:rPr>
        <w:t>ano Diretor é uma lei de competência municipal para determinar o parcelamento, a e</w:t>
      </w:r>
      <w:r w:rsidRPr="00296581">
        <w:rPr>
          <w:rFonts w:ascii="Times New Roman" w:hAnsi="Times New Roman"/>
          <w:sz w:val="24"/>
          <w:szCs w:val="24"/>
          <w:shd w:val="clear" w:color="auto" w:fill="FFFFFF"/>
        </w:rPr>
        <w:t xml:space="preserve">dificação ou a utilização do solo urbano, devendo fixar as condições e prazos para implementação da referida obrigação. É obrigatório para os municípios com número de habitantes superior a vinte mil, ou menos, se integrantes de regiões metropolitanas e aglomerações urbanas, sendo </w:t>
      </w:r>
      <w:r w:rsidRPr="00394541">
        <w:rPr>
          <w:rFonts w:ascii="Times New Roman" w:hAnsi="Times New Roman"/>
          <w:sz w:val="24"/>
          <w:szCs w:val="24"/>
          <w:shd w:val="clear" w:color="auto" w:fill="FFFFFF"/>
        </w:rPr>
        <w:t xml:space="preserve">de suma importância para orientar o desenvolvimento e ordenamento da expansão urbana (ESTATUTO DA CIDADE, 2001). </w:t>
      </w:r>
    </w:p>
    <w:p w:rsidR="00503EA5" w:rsidRPr="00394541" w:rsidRDefault="00503EA5" w:rsidP="00394541">
      <w:pPr>
        <w:spacing w:after="0" w:line="360" w:lineRule="auto"/>
        <w:ind w:firstLine="567"/>
        <w:jc w:val="both"/>
        <w:rPr>
          <w:rFonts w:ascii="Times New Roman" w:hAnsi="Times New Roman"/>
          <w:color w:val="0070C0"/>
          <w:sz w:val="24"/>
          <w:szCs w:val="24"/>
          <w:shd w:val="clear" w:color="auto" w:fill="FFFFFF"/>
        </w:rPr>
      </w:pPr>
      <w:r w:rsidRPr="00394541">
        <w:rPr>
          <w:rFonts w:ascii="Times New Roman" w:hAnsi="Times New Roman"/>
          <w:sz w:val="24"/>
          <w:szCs w:val="24"/>
          <w:shd w:val="clear" w:color="auto" w:fill="FFFFFF"/>
        </w:rPr>
        <w:t xml:space="preserve">O plano diretor estabelece ordenamento de uso e ocupação do solo, podendo determinar coeficientes de aproveitamento, taxa de </w:t>
      </w:r>
      <w:r w:rsidRPr="00296581">
        <w:rPr>
          <w:rFonts w:ascii="Times New Roman" w:hAnsi="Times New Roman"/>
          <w:sz w:val="24"/>
          <w:szCs w:val="24"/>
          <w:shd w:val="clear" w:color="auto" w:fill="FFFFFF"/>
        </w:rPr>
        <w:t xml:space="preserve">ocupação, taxa de permeabilidade dos lotes, de acordo </w:t>
      </w:r>
      <w:r w:rsidRPr="00296581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 xml:space="preserve">com o zoneamento que este se insere, além de outras possibilidades, como estabelecer operações urbanas consorciadas, outorga onerosa e, especialmente conforme o Art. 42-B, o dever de definir diretrizes e instrumentos específicos para proteção ambiental quando os municípios desejem ampliar suas áreas urbanas (ESTATUTO DA CIDADE, 2001).   </w:t>
      </w:r>
    </w:p>
    <w:p w:rsidR="00503EA5" w:rsidRPr="00394541" w:rsidRDefault="00503EA5" w:rsidP="00394541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94541">
        <w:rPr>
          <w:rFonts w:ascii="Times New Roman" w:hAnsi="Times New Roman"/>
          <w:sz w:val="24"/>
          <w:szCs w:val="24"/>
          <w:shd w:val="clear" w:color="auto" w:fill="FFFFFF"/>
        </w:rPr>
        <w:t xml:space="preserve">Os municípios que abrangem a Bacia Hidrográfica do Rio Jundiaí-Mirim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(BHRJM) </w:t>
      </w:r>
      <w:r w:rsidRPr="00394541">
        <w:rPr>
          <w:rFonts w:ascii="Times New Roman" w:hAnsi="Times New Roman"/>
          <w:sz w:val="24"/>
          <w:szCs w:val="24"/>
          <w:shd w:val="clear" w:color="auto" w:fill="FFFFFF"/>
        </w:rPr>
        <w:t>possuem Plano Diretor vigente</w:t>
      </w:r>
      <w:r>
        <w:rPr>
          <w:rFonts w:ascii="Times New Roman" w:hAnsi="Times New Roman"/>
          <w:sz w:val="24"/>
          <w:szCs w:val="24"/>
          <w:shd w:val="clear" w:color="auto" w:fill="FFFFFF"/>
        </w:rPr>
        <w:t>,</w:t>
      </w:r>
      <w:r w:rsidRPr="00394541">
        <w:rPr>
          <w:rFonts w:ascii="Times New Roman" w:hAnsi="Times New Roman"/>
          <w:sz w:val="24"/>
          <w:szCs w:val="24"/>
          <w:shd w:val="clear" w:color="auto" w:fill="FFFFFF"/>
        </w:rPr>
        <w:t xml:space="preserve"> sendo estes: Lei Complementar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nº </w:t>
      </w:r>
      <w:r w:rsidRPr="00394541">
        <w:rPr>
          <w:rFonts w:ascii="Times New Roman" w:hAnsi="Times New Roman"/>
          <w:sz w:val="24"/>
          <w:szCs w:val="24"/>
          <w:shd w:val="clear" w:color="auto" w:fill="FFFFFF"/>
        </w:rPr>
        <w:t>535/2019 (Campo Limpo Paulista), Lei Complementar n° 97/2006 (Jarinu) e Lei n° 8.683/2016 (Jundiaí).</w:t>
      </w:r>
    </w:p>
    <w:p w:rsidR="00503EA5" w:rsidRPr="00296581" w:rsidRDefault="00503EA5" w:rsidP="00394541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39454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A bacia do Rio Jundiaí-Mirim é uma sub bacia do Rio Jundiaí e possui extrema importância para o município de </w:t>
      </w:r>
      <w:r w:rsidRPr="00296581">
        <w:rPr>
          <w:rFonts w:ascii="Times New Roman" w:hAnsi="Times New Roman"/>
          <w:sz w:val="24"/>
          <w:szCs w:val="24"/>
          <w:shd w:val="clear" w:color="auto" w:fill="FFFFFF"/>
        </w:rPr>
        <w:t>Jundiaí pois é a bacia de captação de água do município, sendo responsável pelo abastecimento de água para a população. Ela abrange três municípios (Jundiaí, Jarinu e Campo Limpo Paulista) e tem uma área total de 118 km² sendo que 55% da sua área encontra-se no município de Jundiaí (DAE JUNDIAÍ, 2019).</w:t>
      </w:r>
    </w:p>
    <w:p w:rsidR="00503EA5" w:rsidRPr="00296581" w:rsidRDefault="00503EA5" w:rsidP="00B5587D">
      <w:pPr>
        <w:spacing w:after="120" w:line="360" w:lineRule="auto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296581">
        <w:rPr>
          <w:rFonts w:ascii="Times New Roman" w:hAnsi="Times New Roman"/>
          <w:sz w:val="24"/>
          <w:szCs w:val="24"/>
        </w:rPr>
        <w:t>Portanto, objetiva-se relacionar as legislações urbanísticas, em especial os planos diretores vigentes dos municípios de Jundiaí, Jarinu e Campo Limpo Paulista que compõem a bacia hidrográfica do rio Jundiaí-Mirim e suas perspectivas ambientais para a mesma.</w:t>
      </w:r>
      <w:r w:rsidRPr="00296581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:rsidR="00503EA5" w:rsidRPr="00394541" w:rsidRDefault="00503EA5" w:rsidP="00394541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394541">
        <w:rPr>
          <w:rFonts w:ascii="Times New Roman" w:hAnsi="Times New Roman"/>
          <w:b/>
          <w:sz w:val="24"/>
          <w:szCs w:val="24"/>
        </w:rPr>
        <w:t xml:space="preserve">2 - METODOLOGIA </w:t>
      </w:r>
    </w:p>
    <w:p w:rsidR="00503EA5" w:rsidRPr="00296581" w:rsidRDefault="00503EA5" w:rsidP="00394541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94541">
        <w:rPr>
          <w:rFonts w:ascii="Times New Roman" w:hAnsi="Times New Roman"/>
          <w:sz w:val="24"/>
          <w:szCs w:val="24"/>
        </w:rPr>
        <w:t>Desenvolveu-se um elemento gráfico através da sobreposição dos mapas de macrozoneamento disponíveis nos planos diretores dos municípios de Jarinu, Campo Limpo Paulista e Jundiaí, com o auxílio dos softwares ArcMap® versão 10.6.1 e Adobe® Photoshop CC versão 2017. Foi adicionado ainda o perímetro da Baci</w:t>
      </w:r>
      <w:r>
        <w:rPr>
          <w:rFonts w:ascii="Times New Roman" w:hAnsi="Times New Roman"/>
          <w:sz w:val="24"/>
          <w:szCs w:val="24"/>
        </w:rPr>
        <w:t xml:space="preserve">a Hidrográfica do Jundiaí Mirim </w:t>
      </w:r>
      <w:r w:rsidRPr="00394541">
        <w:rPr>
          <w:rFonts w:ascii="Times New Roman" w:hAnsi="Times New Roman"/>
          <w:sz w:val="24"/>
          <w:szCs w:val="24"/>
        </w:rPr>
        <w:t xml:space="preserve">a fim de evidenciar possíveis cenários </w:t>
      </w:r>
      <w:r w:rsidRPr="00296581">
        <w:rPr>
          <w:rFonts w:ascii="Times New Roman" w:hAnsi="Times New Roman"/>
          <w:sz w:val="24"/>
          <w:szCs w:val="24"/>
        </w:rPr>
        <w:t>propiciados pela legislação vigente sobre a área.</w:t>
      </w:r>
    </w:p>
    <w:p w:rsidR="00503EA5" w:rsidRPr="00296581" w:rsidRDefault="00503EA5" w:rsidP="00B5587D">
      <w:pPr>
        <w:spacing w:after="12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96581">
        <w:rPr>
          <w:rFonts w:ascii="Times New Roman" w:hAnsi="Times New Roman"/>
          <w:sz w:val="24"/>
          <w:szCs w:val="24"/>
        </w:rPr>
        <w:t xml:space="preserve">Foram analisados os principais pontos dos respectivos planos diretores que exercem influência sobre o uso e ocupação, com potencial para comprometer a qualidade ambiental da bacia de drenagem. As informações levantadas foram confrontadas e verificou-se se há tendências em comum aos três municípios ou divergências. </w:t>
      </w:r>
    </w:p>
    <w:p w:rsidR="00503EA5" w:rsidRPr="00394541" w:rsidRDefault="00503EA5" w:rsidP="00B5587D">
      <w:pPr>
        <w:spacing w:after="12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394541">
        <w:rPr>
          <w:rFonts w:ascii="Times New Roman" w:hAnsi="Times New Roman"/>
          <w:b/>
          <w:sz w:val="24"/>
          <w:szCs w:val="24"/>
        </w:rPr>
        <w:t>3 - RESULTADOS E DISCUSSÕES</w:t>
      </w:r>
    </w:p>
    <w:p w:rsidR="00503EA5" w:rsidRPr="00296581" w:rsidRDefault="00503EA5" w:rsidP="00031B40">
      <w:pPr>
        <w:spacing w:after="12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296581">
        <w:rPr>
          <w:rFonts w:ascii="Times New Roman" w:hAnsi="Times New Roman"/>
          <w:b/>
          <w:sz w:val="24"/>
          <w:szCs w:val="24"/>
        </w:rPr>
        <w:t>3.1 – Mapa da BHJM sobreposto ao Macrozoneamento dos Planos Diretores de Jundiaí, Jarinu e Campo Limpo Paulista e seus riscos ambientais</w:t>
      </w:r>
    </w:p>
    <w:p w:rsidR="00503EA5" w:rsidRPr="00394541" w:rsidRDefault="00503EA5" w:rsidP="00394541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94541">
        <w:rPr>
          <w:rFonts w:ascii="Times New Roman" w:hAnsi="Times New Roman"/>
          <w:sz w:val="24"/>
          <w:szCs w:val="24"/>
        </w:rPr>
        <w:lastRenderedPageBreak/>
        <w:t xml:space="preserve">Com base na legislação vigente de cada município que integra a bacia hidrográfica do Rio Jundiaí-Mirim, foi possível elaborar um mapa com a localização do perímetro da bacia inserido no perímetro de cada município, estes com seu macrozoneamento definido por cada plano diretor, </w:t>
      </w:r>
      <w:r>
        <w:rPr>
          <w:rFonts w:ascii="Times New Roman" w:hAnsi="Times New Roman"/>
          <w:sz w:val="24"/>
          <w:szCs w:val="24"/>
        </w:rPr>
        <w:t>F</w:t>
      </w:r>
      <w:r w:rsidRPr="00394541">
        <w:rPr>
          <w:rFonts w:ascii="Times New Roman" w:hAnsi="Times New Roman"/>
          <w:sz w:val="24"/>
          <w:szCs w:val="24"/>
        </w:rPr>
        <w:t xml:space="preserve">igura 1. </w:t>
      </w:r>
    </w:p>
    <w:p w:rsidR="00503EA5" w:rsidRPr="00394541" w:rsidRDefault="00503EA5" w:rsidP="00394541">
      <w:pPr>
        <w:spacing w:after="0" w:line="36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394541">
        <w:rPr>
          <w:rFonts w:ascii="Times New Roman" w:hAnsi="Times New Roman"/>
          <w:b/>
          <w:sz w:val="24"/>
          <w:szCs w:val="24"/>
        </w:rPr>
        <w:t>Figura 1</w:t>
      </w:r>
      <w:r w:rsidRPr="00394541">
        <w:rPr>
          <w:rFonts w:ascii="Times New Roman" w:hAnsi="Times New Roman"/>
          <w:sz w:val="24"/>
          <w:szCs w:val="24"/>
        </w:rPr>
        <w:t xml:space="preserve"> – </w:t>
      </w:r>
      <w:r w:rsidRPr="00296581">
        <w:rPr>
          <w:rFonts w:ascii="Times New Roman" w:hAnsi="Times New Roman"/>
          <w:sz w:val="24"/>
          <w:szCs w:val="24"/>
        </w:rPr>
        <w:t xml:space="preserve">Macrozoneamento dos Planos Diretores vigentes de </w:t>
      </w:r>
      <w:r w:rsidRPr="00394541">
        <w:rPr>
          <w:rFonts w:ascii="Times New Roman" w:hAnsi="Times New Roman"/>
          <w:sz w:val="24"/>
          <w:szCs w:val="24"/>
        </w:rPr>
        <w:t>Jarinu, Jundiaí e Campo Limpo Paulista e limite da Bacia do rio Jundiaí-Mirim</w:t>
      </w:r>
    </w:p>
    <w:p w:rsidR="00503EA5" w:rsidRPr="00394541" w:rsidRDefault="00EA58BA" w:rsidP="00394541">
      <w:pPr>
        <w:spacing w:after="0" w:line="36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2.5pt;height:241.5pt">
            <v:imagedata r:id="rId7" o:title="" croptop="1912f" cropbottom="2149f" cropleft="1366f" cropright="1282f"/>
          </v:shape>
        </w:pict>
      </w:r>
    </w:p>
    <w:p w:rsidR="00503EA5" w:rsidRPr="00394541" w:rsidRDefault="00503EA5" w:rsidP="00031B40">
      <w:pPr>
        <w:spacing w:after="12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</w:t>
      </w:r>
      <w:r w:rsidRPr="00394541">
        <w:rPr>
          <w:rFonts w:ascii="Times New Roman" w:hAnsi="Times New Roman"/>
          <w:b/>
          <w:sz w:val="24"/>
          <w:szCs w:val="24"/>
        </w:rPr>
        <w:t>Fonte:</w:t>
      </w:r>
      <w:r w:rsidRPr="00394541">
        <w:rPr>
          <w:rFonts w:ascii="Times New Roman" w:hAnsi="Times New Roman"/>
          <w:sz w:val="24"/>
          <w:szCs w:val="24"/>
        </w:rPr>
        <w:t xml:space="preserve"> Mapa elaborado pelos autores.</w:t>
      </w:r>
    </w:p>
    <w:p w:rsidR="00503EA5" w:rsidRDefault="00503EA5" w:rsidP="00031B40">
      <w:pPr>
        <w:spacing w:after="120" w:line="360" w:lineRule="auto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394541">
        <w:rPr>
          <w:rFonts w:ascii="Times New Roman" w:hAnsi="Times New Roman"/>
          <w:sz w:val="24"/>
          <w:szCs w:val="24"/>
        </w:rPr>
        <w:t xml:space="preserve">É possível observar pela figura 1 que os municípios de Jarinu e Jundiaí possuem macrozoneamento prevendo qualificação e estruturação urbana dentro da área da bacia do Rio Jundiaí Mirim e que o Município de Campo Limpo Paulista possui uma macrozona de </w:t>
      </w:r>
      <w:r w:rsidRPr="00296581">
        <w:rPr>
          <w:rFonts w:ascii="Times New Roman" w:hAnsi="Times New Roman"/>
          <w:sz w:val="24"/>
          <w:szCs w:val="24"/>
        </w:rPr>
        <w:t xml:space="preserve">desenvolvimento econômico próximo ao limite da bacia, que podem causar possível poluição difusa ou descarga de sedimento, comprometendo a qualidade da mesma, tanto pelos empreendimentos existentes, como futuros, caso não implementados respeitando a legislação, sobretudo ambiental. Dos planos diretores vigentes analisados, o mais antigo é do município de Jarinu (Lei complementar </w:t>
      </w:r>
      <w:r w:rsidRPr="00296581">
        <w:rPr>
          <w:rFonts w:ascii="Times New Roman" w:hAnsi="Times New Roman"/>
          <w:sz w:val="24"/>
          <w:szCs w:val="24"/>
          <w:shd w:val="clear" w:color="auto" w:fill="FFFFFF"/>
        </w:rPr>
        <w:t>n° 97/2006)</w:t>
      </w:r>
      <w:r w:rsidRPr="00296581">
        <w:rPr>
          <w:rFonts w:ascii="Times New Roman" w:hAnsi="Times New Roman"/>
          <w:sz w:val="24"/>
          <w:szCs w:val="24"/>
        </w:rPr>
        <w:t xml:space="preserve"> que atualmente está em revisão e o mais recente é o de Campo Limpo Paulista (Lei complementar </w:t>
      </w:r>
      <w:r w:rsidRPr="00296581">
        <w:rPr>
          <w:rFonts w:ascii="Times New Roman" w:hAnsi="Times New Roman"/>
          <w:sz w:val="24"/>
          <w:szCs w:val="24"/>
          <w:shd w:val="clear" w:color="auto" w:fill="FFFFFF"/>
        </w:rPr>
        <w:t xml:space="preserve">535/2019). </w:t>
      </w:r>
    </w:p>
    <w:p w:rsidR="00503EA5" w:rsidRPr="00296581" w:rsidRDefault="00503EA5" w:rsidP="00031B40">
      <w:pPr>
        <w:spacing w:after="12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296581">
        <w:rPr>
          <w:rFonts w:ascii="Times New Roman" w:hAnsi="Times New Roman"/>
          <w:b/>
          <w:sz w:val="24"/>
          <w:szCs w:val="24"/>
        </w:rPr>
        <w:t>3.2 – Análise dos Coeficientes de Intensidade de Ocupação dos Planos Diretores</w:t>
      </w:r>
    </w:p>
    <w:p w:rsidR="00503EA5" w:rsidRPr="00394541" w:rsidRDefault="00503EA5" w:rsidP="00394541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96581">
        <w:rPr>
          <w:rFonts w:ascii="Times New Roman" w:hAnsi="Times New Roman"/>
          <w:sz w:val="24"/>
          <w:szCs w:val="24"/>
        </w:rPr>
        <w:lastRenderedPageBreak/>
        <w:t>Abrangendo a maior parte da BHJM, Jundiaí possui um ordenamento de uso e ocupação do solo de acordo com plano diretor (2016), determinando que a região da bacia está inserida em duas zonas: a) Zona de Proteção e Recuperação Ambiental das Bacias dos Rios Jundiaí-Mirim e Capivari e Ribeirão Cachoeira/Caxambu, que possui um C.A</w:t>
      </w:r>
      <w:r w:rsidRPr="00394541">
        <w:rPr>
          <w:rFonts w:ascii="Times New Roman" w:hAnsi="Times New Roman"/>
          <w:sz w:val="24"/>
          <w:szCs w:val="24"/>
        </w:rPr>
        <w:t>. de 0,3; T.O. de 10%; T.P. de 80%</w:t>
      </w:r>
      <w:r>
        <w:rPr>
          <w:rStyle w:val="Refdenotaderodap"/>
          <w:rFonts w:ascii="Times New Roman" w:hAnsi="Times New Roman"/>
          <w:sz w:val="24"/>
          <w:szCs w:val="24"/>
        </w:rPr>
        <w:footnoteReference w:id="1"/>
      </w:r>
      <w:r w:rsidRPr="00394541">
        <w:rPr>
          <w:rFonts w:ascii="Times New Roman" w:hAnsi="Times New Roman"/>
          <w:sz w:val="24"/>
          <w:szCs w:val="24"/>
        </w:rPr>
        <w:t>; o que dificulta uma possível expansão urbana e rural, permitindo apenas edificações destinadas às atividades agrosilvopastoris, com o objetivo de proteção e recuperação da área da região da bacia</w:t>
      </w:r>
      <w:r>
        <w:rPr>
          <w:rFonts w:ascii="Times New Roman" w:hAnsi="Times New Roman"/>
          <w:sz w:val="24"/>
          <w:szCs w:val="24"/>
        </w:rPr>
        <w:t xml:space="preserve">; b) </w:t>
      </w:r>
      <w:r w:rsidRPr="00394541">
        <w:rPr>
          <w:rFonts w:ascii="Times New Roman" w:hAnsi="Times New Roman"/>
          <w:sz w:val="24"/>
          <w:szCs w:val="24"/>
        </w:rPr>
        <w:t xml:space="preserve">Zona de Desenvolvimento Periurbano </w:t>
      </w:r>
      <w:r>
        <w:rPr>
          <w:rFonts w:ascii="Times New Roman" w:hAnsi="Times New Roman"/>
          <w:sz w:val="24"/>
          <w:szCs w:val="24"/>
        </w:rPr>
        <w:t>I, que</w:t>
      </w:r>
      <w:r w:rsidRPr="00394541">
        <w:rPr>
          <w:rFonts w:ascii="Times New Roman" w:hAnsi="Times New Roman"/>
          <w:sz w:val="24"/>
          <w:szCs w:val="24"/>
        </w:rPr>
        <w:t xml:space="preserve"> se caracteriza pela ocupação predominantemente horizontal dispersa na região da </w:t>
      </w:r>
      <w:r>
        <w:rPr>
          <w:rFonts w:ascii="Times New Roman" w:hAnsi="Times New Roman"/>
          <w:sz w:val="24"/>
          <w:szCs w:val="24"/>
        </w:rPr>
        <w:t>BHRJM</w:t>
      </w:r>
      <w:r w:rsidRPr="00394541">
        <w:rPr>
          <w:rFonts w:ascii="Times New Roman" w:hAnsi="Times New Roman"/>
          <w:sz w:val="24"/>
          <w:szCs w:val="24"/>
        </w:rPr>
        <w:t xml:space="preserve"> e possui C.A. 1, T.O. de 40%, T.P. de 50% fazendo com que não seja permitido o aumento de gabarito (altura das edificações) e grande ocupação urbana com o objetivo de preservar a permeabilidade do solo para proteção da bacia em questão. </w:t>
      </w:r>
    </w:p>
    <w:p w:rsidR="00503EA5" w:rsidRPr="00394541" w:rsidRDefault="00503EA5" w:rsidP="00394541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94541">
        <w:rPr>
          <w:rFonts w:ascii="Times New Roman" w:hAnsi="Times New Roman"/>
          <w:sz w:val="24"/>
          <w:szCs w:val="24"/>
        </w:rPr>
        <w:t xml:space="preserve">O município de Jarinu possui a segunda maior parte da bacia inserida em seu território. O seu plano diretor determina que a região da bacia está dividida em duas macrozonas: </w:t>
      </w:r>
      <w:r>
        <w:rPr>
          <w:rFonts w:ascii="Times New Roman" w:hAnsi="Times New Roman"/>
          <w:sz w:val="24"/>
          <w:szCs w:val="24"/>
        </w:rPr>
        <w:t xml:space="preserve">a) </w:t>
      </w:r>
      <w:r w:rsidRPr="00394541">
        <w:rPr>
          <w:rFonts w:ascii="Times New Roman" w:hAnsi="Times New Roman"/>
          <w:sz w:val="24"/>
          <w:szCs w:val="24"/>
        </w:rPr>
        <w:t>Macrozona de Qualificação Urbana</w:t>
      </w:r>
      <w:r>
        <w:rPr>
          <w:rFonts w:ascii="Times New Roman" w:hAnsi="Times New Roman"/>
          <w:sz w:val="24"/>
          <w:szCs w:val="24"/>
        </w:rPr>
        <w:t xml:space="preserve">, que </w:t>
      </w:r>
      <w:r w:rsidRPr="00296581">
        <w:rPr>
          <w:rFonts w:ascii="Times New Roman" w:hAnsi="Times New Roman"/>
          <w:sz w:val="24"/>
          <w:szCs w:val="24"/>
        </w:rPr>
        <w:t xml:space="preserve">destaca áreas especiais de interesse industrial e ambiental, presentes na região de estudo, inclusive, sem determinação de T.O. e T.P.; porém, indica C.A. máximo permitido de 3,0 o que é bastante elevado; e, b) Macrozona de Uso Multifuncional Rural. Observa-se, então, uma contradição na questão de </w:t>
      </w:r>
      <w:r w:rsidRPr="00394541">
        <w:rPr>
          <w:rFonts w:ascii="Times New Roman" w:hAnsi="Times New Roman"/>
          <w:sz w:val="24"/>
          <w:szCs w:val="24"/>
        </w:rPr>
        <w:t>proteção e recuperação ambiental previstas na legislação</w:t>
      </w:r>
      <w:r>
        <w:rPr>
          <w:rFonts w:ascii="Times New Roman" w:hAnsi="Times New Roman"/>
          <w:sz w:val="24"/>
          <w:szCs w:val="24"/>
        </w:rPr>
        <w:t xml:space="preserve"> enquanto se </w:t>
      </w:r>
      <w:r w:rsidRPr="00394541">
        <w:rPr>
          <w:rFonts w:ascii="Times New Roman" w:hAnsi="Times New Roman"/>
          <w:sz w:val="24"/>
          <w:szCs w:val="24"/>
        </w:rPr>
        <w:t xml:space="preserve">permite </w:t>
      </w:r>
      <w:r>
        <w:rPr>
          <w:rFonts w:ascii="Times New Roman" w:hAnsi="Times New Roman"/>
          <w:sz w:val="24"/>
          <w:szCs w:val="24"/>
        </w:rPr>
        <w:t xml:space="preserve">o </w:t>
      </w:r>
      <w:r w:rsidRPr="00394541">
        <w:rPr>
          <w:rFonts w:ascii="Times New Roman" w:hAnsi="Times New Roman"/>
          <w:sz w:val="24"/>
          <w:szCs w:val="24"/>
        </w:rPr>
        <w:t>uso industrial dentro da bacia</w:t>
      </w:r>
      <w:r>
        <w:rPr>
          <w:rFonts w:ascii="Times New Roman" w:hAnsi="Times New Roman"/>
          <w:sz w:val="24"/>
          <w:szCs w:val="24"/>
        </w:rPr>
        <w:t>.</w:t>
      </w:r>
      <w:r w:rsidRPr="00394541">
        <w:rPr>
          <w:rFonts w:ascii="Times New Roman" w:hAnsi="Times New Roman"/>
          <w:sz w:val="24"/>
          <w:szCs w:val="24"/>
        </w:rPr>
        <w:t xml:space="preserve"> </w:t>
      </w:r>
    </w:p>
    <w:p w:rsidR="00503EA5" w:rsidRPr="00394541" w:rsidRDefault="00503EA5" w:rsidP="00394541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Em</w:t>
      </w:r>
      <w:r w:rsidRPr="00394541">
        <w:rPr>
          <w:rFonts w:ascii="Times New Roman" w:hAnsi="Times New Roman"/>
          <w:sz w:val="24"/>
          <w:szCs w:val="24"/>
        </w:rPr>
        <w:t xml:space="preserve"> Campo Limpo Paulista a </w:t>
      </w:r>
      <w:r>
        <w:rPr>
          <w:rFonts w:ascii="Times New Roman" w:hAnsi="Times New Roman"/>
          <w:sz w:val="24"/>
          <w:szCs w:val="24"/>
        </w:rPr>
        <w:t>BHJM</w:t>
      </w:r>
      <w:r w:rsidRPr="00394541">
        <w:rPr>
          <w:rFonts w:ascii="Times New Roman" w:hAnsi="Times New Roman"/>
          <w:sz w:val="24"/>
          <w:szCs w:val="24"/>
        </w:rPr>
        <w:t xml:space="preserve"> se encontra </w:t>
      </w:r>
      <w:r>
        <w:rPr>
          <w:rFonts w:ascii="Times New Roman" w:hAnsi="Times New Roman"/>
          <w:sz w:val="24"/>
          <w:szCs w:val="24"/>
        </w:rPr>
        <w:t xml:space="preserve">tanto </w:t>
      </w:r>
      <w:r w:rsidRPr="00394541">
        <w:rPr>
          <w:rFonts w:ascii="Times New Roman" w:hAnsi="Times New Roman"/>
          <w:sz w:val="24"/>
          <w:szCs w:val="24"/>
        </w:rPr>
        <w:t>na Macrozona Agroindustrial</w:t>
      </w:r>
      <w:r>
        <w:rPr>
          <w:rFonts w:ascii="Times New Roman" w:hAnsi="Times New Roman"/>
          <w:sz w:val="24"/>
          <w:szCs w:val="24"/>
        </w:rPr>
        <w:t>, cujo</w:t>
      </w:r>
      <w:r w:rsidRPr="00394541">
        <w:rPr>
          <w:rFonts w:ascii="Times New Roman" w:hAnsi="Times New Roman"/>
          <w:sz w:val="24"/>
          <w:szCs w:val="24"/>
        </w:rPr>
        <w:t xml:space="preserve"> zoneamento </w:t>
      </w:r>
      <w:r>
        <w:rPr>
          <w:rFonts w:ascii="Times New Roman" w:hAnsi="Times New Roman"/>
          <w:sz w:val="24"/>
          <w:szCs w:val="24"/>
        </w:rPr>
        <w:t>em</w:t>
      </w:r>
      <w:r w:rsidRPr="00394541">
        <w:rPr>
          <w:rFonts w:ascii="Times New Roman" w:hAnsi="Times New Roman"/>
          <w:sz w:val="24"/>
          <w:szCs w:val="24"/>
        </w:rPr>
        <w:t xml:space="preserve"> sua maior parte </w:t>
      </w:r>
      <w:r>
        <w:rPr>
          <w:rFonts w:ascii="Times New Roman" w:hAnsi="Times New Roman"/>
          <w:sz w:val="24"/>
          <w:szCs w:val="24"/>
        </w:rPr>
        <w:t>é definido como</w:t>
      </w:r>
      <w:r w:rsidRPr="00394541">
        <w:rPr>
          <w:rFonts w:ascii="Times New Roman" w:hAnsi="Times New Roman"/>
          <w:sz w:val="24"/>
          <w:szCs w:val="24"/>
        </w:rPr>
        <w:t xml:space="preserve"> “Zona Ecourbana”</w:t>
      </w:r>
      <w:r>
        <w:rPr>
          <w:rFonts w:ascii="Times New Roman" w:hAnsi="Times New Roman"/>
          <w:sz w:val="24"/>
          <w:szCs w:val="24"/>
        </w:rPr>
        <w:t>,</w:t>
      </w:r>
      <w:r w:rsidRPr="00394541">
        <w:rPr>
          <w:rFonts w:ascii="Times New Roman" w:hAnsi="Times New Roman"/>
          <w:sz w:val="24"/>
          <w:szCs w:val="24"/>
        </w:rPr>
        <w:t xml:space="preserve"> caracterizada por ocupações de baixa densidade construtiva e habitacional, com C.A. máximo de 0,8; T.O. 30% e T.P. de 60%</w:t>
      </w:r>
      <w:r>
        <w:rPr>
          <w:rFonts w:ascii="Times New Roman" w:hAnsi="Times New Roman"/>
          <w:sz w:val="24"/>
          <w:szCs w:val="24"/>
        </w:rPr>
        <w:t>, como também n</w:t>
      </w:r>
      <w:r w:rsidRPr="00394541">
        <w:rPr>
          <w:rFonts w:ascii="Times New Roman" w:hAnsi="Times New Roman"/>
          <w:sz w:val="24"/>
          <w:szCs w:val="24"/>
        </w:rPr>
        <w:t>a “Zona de Produção Rural” que é caracterizada somente para uso rural ou agrovila, com C.A. máximo de 0,4; T.O. 10% e T.P. de 90%, dificultando</w:t>
      </w:r>
      <w:r>
        <w:rPr>
          <w:rFonts w:ascii="Times New Roman" w:hAnsi="Times New Roman"/>
          <w:sz w:val="24"/>
          <w:szCs w:val="24"/>
        </w:rPr>
        <w:t>,</w:t>
      </w:r>
      <w:r w:rsidRPr="00394541">
        <w:rPr>
          <w:rFonts w:ascii="Times New Roman" w:hAnsi="Times New Roman"/>
          <w:sz w:val="24"/>
          <w:szCs w:val="24"/>
        </w:rPr>
        <w:t xml:space="preserve"> então</w:t>
      </w:r>
      <w:r>
        <w:rPr>
          <w:rFonts w:ascii="Times New Roman" w:hAnsi="Times New Roman"/>
          <w:sz w:val="24"/>
          <w:szCs w:val="24"/>
        </w:rPr>
        <w:t>,</w:t>
      </w:r>
      <w:r w:rsidRPr="00394541">
        <w:rPr>
          <w:rFonts w:ascii="Times New Roman" w:hAnsi="Times New Roman"/>
          <w:sz w:val="24"/>
          <w:szCs w:val="24"/>
        </w:rPr>
        <w:t xml:space="preserve"> a expansão urbana na área da bacia.</w:t>
      </w:r>
    </w:p>
    <w:p w:rsidR="00503EA5" w:rsidRPr="00394541" w:rsidRDefault="00503EA5" w:rsidP="00031B40">
      <w:pPr>
        <w:spacing w:after="12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394541">
        <w:rPr>
          <w:rFonts w:ascii="Times New Roman" w:hAnsi="Times New Roman"/>
          <w:b/>
          <w:sz w:val="24"/>
          <w:szCs w:val="24"/>
        </w:rPr>
        <w:t xml:space="preserve">4 - CONSIDERAÇÕES FINAIS </w:t>
      </w:r>
    </w:p>
    <w:p w:rsidR="00503EA5" w:rsidRPr="00296581" w:rsidRDefault="00503EA5" w:rsidP="00031B40">
      <w:pPr>
        <w:spacing w:after="120" w:line="360" w:lineRule="auto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394541">
        <w:rPr>
          <w:rFonts w:ascii="Times New Roman" w:hAnsi="Times New Roman"/>
          <w:sz w:val="24"/>
          <w:szCs w:val="24"/>
        </w:rPr>
        <w:lastRenderedPageBreak/>
        <w:t xml:space="preserve">Conclui-se que o município de </w:t>
      </w:r>
      <w:r w:rsidRPr="00296581">
        <w:rPr>
          <w:rFonts w:ascii="Times New Roman" w:hAnsi="Times New Roman"/>
          <w:sz w:val="24"/>
          <w:szCs w:val="24"/>
        </w:rPr>
        <w:t>Jarinu elaborou uma legislação urbanística que dificulta a preservação e proteção da BHRJM, permitindo zonas de expansão industriais no perímetro da mesma. Quanto aos outros municípios, possuem legislação que apresentam razoáveis taxas de permeabilidade e pequenas taxas de ocupação para inibir o crescimento e expansão urbana na área da bacia, apesar de terem zonas agroindustriais presentes no perímetro da bacia em estudo. Portanto, a</w:t>
      </w:r>
      <w:r w:rsidRPr="00296581">
        <w:rPr>
          <w:rFonts w:ascii="Times New Roman" w:hAnsi="Times New Roman"/>
          <w:sz w:val="24"/>
          <w:szCs w:val="24"/>
          <w:shd w:val="clear" w:color="auto" w:fill="FFFFFF"/>
        </w:rPr>
        <w:t xml:space="preserve"> gestão e manejo da bacia de drenagem deve ser feita de forma integrada, valendo-se mais do ente Aglomerado Urbano de Jundiaí para aprimorar e reduzir a permissividade das legislações, respeitando o disposto no Estatuto das Cidades visando proteger e garantir a qualidade dos ecossistemas e disponibilidade de água à população.</w:t>
      </w:r>
    </w:p>
    <w:p w:rsidR="00503EA5" w:rsidRPr="00394541" w:rsidRDefault="00503EA5" w:rsidP="00B5587D">
      <w:pPr>
        <w:spacing w:after="12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394541">
        <w:rPr>
          <w:rFonts w:ascii="Times New Roman" w:hAnsi="Times New Roman"/>
          <w:b/>
          <w:sz w:val="24"/>
          <w:szCs w:val="24"/>
        </w:rPr>
        <w:t xml:space="preserve">REFERÊNCIAS </w:t>
      </w:r>
    </w:p>
    <w:p w:rsidR="00503EA5" w:rsidRPr="00394541" w:rsidRDefault="00503EA5" w:rsidP="00DE4DF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94541">
        <w:rPr>
          <w:rFonts w:ascii="Times New Roman" w:hAnsi="Times New Roman"/>
          <w:sz w:val="24"/>
          <w:szCs w:val="24"/>
        </w:rPr>
        <w:t xml:space="preserve">BRASIL. Lei nº 10.257, de 10 de julho de 2001. </w:t>
      </w:r>
      <w:r w:rsidRPr="00394541">
        <w:rPr>
          <w:rFonts w:ascii="Times New Roman" w:hAnsi="Times New Roman"/>
          <w:b/>
          <w:bCs/>
          <w:sz w:val="24"/>
          <w:szCs w:val="24"/>
        </w:rPr>
        <w:t xml:space="preserve">Institui o Estatuto da Cidade. </w:t>
      </w:r>
      <w:r w:rsidRPr="00394541">
        <w:rPr>
          <w:rFonts w:ascii="Times New Roman" w:hAnsi="Times New Roman"/>
          <w:sz w:val="24"/>
          <w:szCs w:val="24"/>
        </w:rPr>
        <w:t xml:space="preserve">Disponível em: </w:t>
      </w:r>
      <w:hyperlink r:id="rId8" w:history="1">
        <w:r w:rsidRPr="00DE4DF7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</w:rPr>
          <w:t>http://www.planalto.gov.br/ccivil_03/LEIS/LEIS_2001/L10257.htm</w:t>
        </w:r>
      </w:hyperlink>
      <w:r w:rsidRPr="00DE4DF7">
        <w:rPr>
          <w:rStyle w:val="Hyperlink"/>
          <w:rFonts w:ascii="Times New Roman" w:hAnsi="Times New Roman"/>
          <w:color w:val="auto"/>
          <w:sz w:val="24"/>
          <w:szCs w:val="24"/>
          <w:u w:val="none"/>
        </w:rPr>
        <w:t>.</w:t>
      </w:r>
      <w:r w:rsidRPr="00DE4DF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 w:rsidRPr="00394541">
        <w:rPr>
          <w:rFonts w:ascii="Times New Roman" w:hAnsi="Times New Roman"/>
          <w:sz w:val="24"/>
          <w:szCs w:val="24"/>
        </w:rPr>
        <w:t>cesso em: 03 nov. 2019.</w:t>
      </w:r>
    </w:p>
    <w:p w:rsidR="00503EA5" w:rsidRPr="00394541" w:rsidRDefault="00503EA5" w:rsidP="00DE4DF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94541">
        <w:rPr>
          <w:rFonts w:ascii="Times New Roman" w:hAnsi="Times New Roman"/>
          <w:sz w:val="24"/>
          <w:szCs w:val="24"/>
        </w:rPr>
        <w:t xml:space="preserve">_______. Lei nº 13.089, de 12 de janeiro de 2015. </w:t>
      </w:r>
      <w:r w:rsidRPr="00394541">
        <w:rPr>
          <w:rFonts w:ascii="Times New Roman" w:hAnsi="Times New Roman"/>
          <w:b/>
          <w:bCs/>
          <w:sz w:val="24"/>
          <w:szCs w:val="24"/>
        </w:rPr>
        <w:t xml:space="preserve">Institui o Estatuto da Metrópole. </w:t>
      </w:r>
      <w:r w:rsidRPr="00394541">
        <w:rPr>
          <w:rFonts w:ascii="Times New Roman" w:hAnsi="Times New Roman"/>
          <w:sz w:val="24"/>
          <w:szCs w:val="24"/>
        </w:rPr>
        <w:t xml:space="preserve">Disponível em: </w:t>
      </w:r>
      <w:hyperlink r:id="rId9" w:history="1">
        <w:r w:rsidRPr="00DE4DF7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</w:rPr>
          <w:t>http://www.planalto.gov.br/ccivil_03/_Ato2015-2018/2015/Lei/L13089.htm</w:t>
        </w:r>
      </w:hyperlink>
      <w:r w:rsidRPr="00DE4DF7">
        <w:rPr>
          <w:rFonts w:ascii="Times New Roman" w:hAnsi="Times New Roman"/>
          <w:sz w:val="24"/>
          <w:szCs w:val="24"/>
        </w:rPr>
        <w:t xml:space="preserve"> </w:t>
      </w:r>
      <w:r w:rsidRPr="00394541">
        <w:rPr>
          <w:rFonts w:ascii="Times New Roman" w:hAnsi="Times New Roman"/>
          <w:sz w:val="24"/>
          <w:szCs w:val="24"/>
        </w:rPr>
        <w:t>Acesso em: 03 nov. 2019.</w:t>
      </w:r>
    </w:p>
    <w:p w:rsidR="00503EA5" w:rsidRPr="00394541" w:rsidRDefault="00503EA5" w:rsidP="00DE4DF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94541">
        <w:rPr>
          <w:rFonts w:ascii="Times New Roman" w:hAnsi="Times New Roman"/>
          <w:sz w:val="24"/>
          <w:szCs w:val="24"/>
        </w:rPr>
        <w:t xml:space="preserve">CAMPO LIMPO PAULISTA (SP). Lei Complementar nº 535, de 17 de maio de 2010. </w:t>
      </w:r>
      <w:r w:rsidRPr="00394541">
        <w:rPr>
          <w:rFonts w:ascii="Times New Roman" w:hAnsi="Times New Roman"/>
          <w:b/>
          <w:bCs/>
          <w:sz w:val="24"/>
          <w:szCs w:val="24"/>
        </w:rPr>
        <w:t>Institui o Plano Diretor de Campo Limpo Paulista</w:t>
      </w:r>
      <w:r w:rsidRPr="00394541">
        <w:rPr>
          <w:rFonts w:ascii="Times New Roman" w:hAnsi="Times New Roman"/>
          <w:sz w:val="24"/>
          <w:szCs w:val="24"/>
        </w:rPr>
        <w:t xml:space="preserve">. Disponível em:  </w:t>
      </w:r>
      <w:hyperlink r:id="rId10" w:history="1">
        <w:r w:rsidRPr="00DE4DF7">
          <w:rPr>
            <w:rStyle w:val="Hyperlink"/>
            <w:rFonts w:ascii="Times New Roman" w:hAnsi="Times New Roman"/>
            <w:bCs/>
            <w:color w:val="auto"/>
            <w:sz w:val="24"/>
            <w:szCs w:val="24"/>
            <w:u w:val="none"/>
          </w:rPr>
          <w:t>http://www.campolimpopaulista.sp.gov.br/plano-diretor/perguntas-e-respostas-revisao-do-plano-diretor-campo-limpo-paulista.php</w:t>
        </w:r>
      </w:hyperlink>
      <w:r w:rsidRPr="00394541">
        <w:rPr>
          <w:rFonts w:ascii="Times New Roman" w:hAnsi="Times New Roman"/>
          <w:b/>
          <w:sz w:val="24"/>
          <w:szCs w:val="24"/>
        </w:rPr>
        <w:t xml:space="preserve"> </w:t>
      </w:r>
      <w:r w:rsidRPr="00394541">
        <w:rPr>
          <w:rFonts w:ascii="Times New Roman" w:hAnsi="Times New Roman"/>
          <w:bCs/>
          <w:sz w:val="24"/>
          <w:szCs w:val="24"/>
        </w:rPr>
        <w:t>Acesso em 03 nov. 2019</w:t>
      </w:r>
    </w:p>
    <w:p w:rsidR="00503EA5" w:rsidRDefault="00503EA5" w:rsidP="00DE4DF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DAE. DAE S/A - Água e Esgoto. Disponível em:</w:t>
      </w:r>
      <w:r w:rsidRPr="00825A40">
        <w:rPr>
          <w:rStyle w:val="Hyperlink"/>
          <w:bCs/>
        </w:rPr>
        <w:t xml:space="preserve"> </w:t>
      </w:r>
      <w:hyperlink r:id="rId11" w:history="1">
        <w:r w:rsidRPr="00DE4DF7">
          <w:rPr>
            <w:rStyle w:val="Hyperlink"/>
            <w:rFonts w:ascii="Times New Roman" w:hAnsi="Times New Roman"/>
            <w:bCs/>
            <w:color w:val="auto"/>
            <w:sz w:val="24"/>
            <w:szCs w:val="24"/>
            <w:u w:val="none"/>
          </w:rPr>
          <w:t>https://daejundiai.com.br/</w:t>
        </w:r>
      </w:hyperlink>
      <w:r>
        <w:rPr>
          <w:rStyle w:val="Hyperlink"/>
          <w:rFonts w:ascii="Times New Roman" w:hAnsi="Times New Roman"/>
          <w:bCs/>
          <w:color w:val="auto"/>
          <w:sz w:val="24"/>
          <w:szCs w:val="24"/>
          <w:u w:val="none"/>
        </w:rPr>
        <w:t xml:space="preserve"> </w:t>
      </w:r>
      <w:r w:rsidRPr="00394541">
        <w:rPr>
          <w:rFonts w:ascii="Times New Roman" w:hAnsi="Times New Roman"/>
          <w:bCs/>
          <w:sz w:val="24"/>
          <w:szCs w:val="24"/>
        </w:rPr>
        <w:t>Acesso em 0</w:t>
      </w:r>
      <w:r>
        <w:rPr>
          <w:rFonts w:ascii="Times New Roman" w:hAnsi="Times New Roman"/>
          <w:bCs/>
          <w:sz w:val="24"/>
          <w:szCs w:val="24"/>
        </w:rPr>
        <w:t>6</w:t>
      </w:r>
      <w:r w:rsidRPr="00394541">
        <w:rPr>
          <w:rFonts w:ascii="Times New Roman" w:hAnsi="Times New Roman"/>
          <w:bCs/>
          <w:sz w:val="24"/>
          <w:szCs w:val="24"/>
        </w:rPr>
        <w:t xml:space="preserve"> nov. 2019</w:t>
      </w:r>
    </w:p>
    <w:p w:rsidR="00503EA5" w:rsidRPr="00394541" w:rsidRDefault="00503EA5" w:rsidP="00DE4DF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94541">
        <w:rPr>
          <w:rFonts w:ascii="Times New Roman" w:hAnsi="Times New Roman"/>
          <w:sz w:val="24"/>
          <w:szCs w:val="24"/>
        </w:rPr>
        <w:t xml:space="preserve">JARINU (SP). Lei Complementar nº 97, de 22 de novembro de 2006. </w:t>
      </w:r>
      <w:r w:rsidRPr="00394541">
        <w:rPr>
          <w:rFonts w:ascii="Times New Roman" w:hAnsi="Times New Roman"/>
          <w:b/>
          <w:sz w:val="24"/>
          <w:szCs w:val="24"/>
        </w:rPr>
        <w:t xml:space="preserve">Institui o Plano Diretor de Jarinu. </w:t>
      </w:r>
      <w:r w:rsidRPr="00394541">
        <w:rPr>
          <w:rFonts w:ascii="Times New Roman" w:hAnsi="Times New Roman"/>
          <w:bCs/>
          <w:sz w:val="24"/>
          <w:szCs w:val="24"/>
        </w:rPr>
        <w:t>Disponível em:</w:t>
      </w:r>
      <w:r w:rsidRPr="00394541">
        <w:rPr>
          <w:rFonts w:ascii="Times New Roman" w:hAnsi="Times New Roman"/>
          <w:b/>
          <w:sz w:val="24"/>
          <w:szCs w:val="24"/>
        </w:rPr>
        <w:t xml:space="preserve"> </w:t>
      </w:r>
      <w:hyperlink r:id="rId12" w:history="1">
        <w:r w:rsidRPr="00DE4DF7">
          <w:rPr>
            <w:rStyle w:val="Hyperlink"/>
            <w:rFonts w:ascii="Times New Roman" w:hAnsi="Times New Roman"/>
            <w:bCs/>
            <w:color w:val="auto"/>
            <w:sz w:val="24"/>
            <w:szCs w:val="24"/>
            <w:u w:val="none"/>
          </w:rPr>
          <w:t>https://consulta.siscam.com.br/camarajarinu/arquivo?Id=11762</w:t>
        </w:r>
      </w:hyperlink>
      <w:r w:rsidRPr="00DE4DF7">
        <w:rPr>
          <w:rFonts w:ascii="Times New Roman" w:hAnsi="Times New Roman"/>
          <w:sz w:val="24"/>
          <w:szCs w:val="24"/>
        </w:rPr>
        <w:t xml:space="preserve"> </w:t>
      </w:r>
      <w:r w:rsidRPr="00394541">
        <w:rPr>
          <w:rFonts w:ascii="Times New Roman" w:hAnsi="Times New Roman"/>
          <w:bCs/>
          <w:sz w:val="24"/>
          <w:szCs w:val="24"/>
        </w:rPr>
        <w:t>Acesso em 03 nov. 2019</w:t>
      </w:r>
    </w:p>
    <w:p w:rsidR="00503EA5" w:rsidRPr="00394541" w:rsidRDefault="00503EA5" w:rsidP="00DE4DF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94541">
        <w:rPr>
          <w:rFonts w:ascii="Times New Roman" w:hAnsi="Times New Roman"/>
          <w:sz w:val="24"/>
          <w:szCs w:val="24"/>
        </w:rPr>
        <w:t xml:space="preserve">JUNDIAÍ (SP). Lei Complementar 8.683, de 07 de julho de 2016. Institui o </w:t>
      </w:r>
      <w:r w:rsidRPr="00394541">
        <w:rPr>
          <w:rFonts w:ascii="Times New Roman" w:hAnsi="Times New Roman"/>
          <w:b/>
          <w:sz w:val="24"/>
          <w:szCs w:val="24"/>
        </w:rPr>
        <w:t>Plano Diretor do Município de Jundiaí.</w:t>
      </w:r>
      <w:r w:rsidRPr="00394541">
        <w:rPr>
          <w:rFonts w:ascii="Times New Roman" w:hAnsi="Times New Roman"/>
          <w:sz w:val="24"/>
          <w:szCs w:val="24"/>
        </w:rPr>
        <w:t xml:space="preserve"> Disponível em: </w:t>
      </w:r>
      <w:r w:rsidRPr="00DE4DF7">
        <w:rPr>
          <w:rStyle w:val="Hyperlink"/>
          <w:rFonts w:ascii="Times New Roman" w:hAnsi="Times New Roman"/>
          <w:color w:val="auto"/>
          <w:sz w:val="24"/>
          <w:szCs w:val="24"/>
          <w:u w:val="none"/>
        </w:rPr>
        <w:t>http://planodiretor.jundiai.sp.gov.br/wp-content/uploads/2016/07/Lei-8.683-Plano-Diretor-do-Munic%C3%ADpio-de-Jundia%C3%AD.pdf</w:t>
      </w:r>
      <w:r w:rsidRPr="00DE4DF7">
        <w:rPr>
          <w:rFonts w:ascii="Times New Roman" w:hAnsi="Times New Roman"/>
          <w:sz w:val="24"/>
          <w:szCs w:val="24"/>
        </w:rPr>
        <w:t xml:space="preserve"> </w:t>
      </w:r>
      <w:r w:rsidRPr="00394541">
        <w:rPr>
          <w:rFonts w:ascii="Times New Roman" w:hAnsi="Times New Roman"/>
          <w:bCs/>
          <w:sz w:val="24"/>
          <w:szCs w:val="24"/>
        </w:rPr>
        <w:t>Acesso em 03 nov. 2</w:t>
      </w:r>
      <w:r>
        <w:rPr>
          <w:rFonts w:ascii="Times New Roman" w:hAnsi="Times New Roman"/>
          <w:bCs/>
          <w:sz w:val="24"/>
          <w:szCs w:val="24"/>
        </w:rPr>
        <w:t>019</w:t>
      </w:r>
    </w:p>
    <w:sectPr w:rsidR="00503EA5" w:rsidRPr="00394541" w:rsidSect="00D977C1">
      <w:headerReference w:type="default" r:id="rId13"/>
      <w:footerReference w:type="default" r:id="rId14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3C30" w:rsidRDefault="00863C30" w:rsidP="004968C9">
      <w:pPr>
        <w:spacing w:after="0" w:line="240" w:lineRule="auto"/>
      </w:pPr>
      <w:r>
        <w:separator/>
      </w:r>
    </w:p>
  </w:endnote>
  <w:endnote w:type="continuationSeparator" w:id="0">
    <w:p w:rsidR="00863C30" w:rsidRDefault="00863C30" w:rsidP="004968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3EA5" w:rsidRDefault="00863C30">
    <w:pPr>
      <w:pStyle w:val="Rodap"/>
    </w:pPr>
    <w:r>
      <w:rPr>
        <w:noProof/>
        <w:lang w:eastAsia="pt-BR"/>
      </w:rPr>
      <w:pict>
        <v:rect id="Retângulo 650" o:spid="_x0000_s2049" style="position:absolute;margin-left:537.55pt;margin-top:798.9pt;width:44.55pt;height:15.1pt;rotation:180;flip:x;z-index:1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" filled="f" fillcolor="#c0504d" stroked="f" strokecolor="#5c83b4" strokeweight="2.25pt">
          <v:textbox inset=",0,,0">
            <w:txbxContent>
              <w:p w:rsidR="00503EA5" w:rsidRPr="00FC60F1" w:rsidRDefault="00863C30" w:rsidP="00FC60F1">
                <w:pPr>
                  <w:pBdr>
                    <w:top w:val="single" w:sz="4" w:space="1" w:color="7F7F7F"/>
                  </w:pBdr>
                  <w:jc w:val="center"/>
                  <w:rPr>
                    <w:color w:val="C0504D"/>
                  </w:rPr>
                </w:pPr>
                <w:r>
                  <w:rPr>
                    <w:noProof/>
                    <w:color w:val="C0504D"/>
                  </w:rPr>
                  <w:fldChar w:fldCharType="begin"/>
                </w:r>
                <w:r>
                  <w:rPr>
                    <w:noProof/>
                    <w:color w:val="C0504D"/>
                  </w:rPr>
                  <w:instrText>PAGE   \* MERGEFORMAT</w:instrText>
                </w:r>
                <w:r>
                  <w:rPr>
                    <w:noProof/>
                    <w:color w:val="C0504D"/>
                  </w:rPr>
                  <w:fldChar w:fldCharType="separate"/>
                </w:r>
                <w:r w:rsidR="00EA58BA">
                  <w:rPr>
                    <w:noProof/>
                    <w:color w:val="C0504D"/>
                  </w:rPr>
                  <w:t>1</w:t>
                </w:r>
                <w:r>
                  <w:rPr>
                    <w:noProof/>
                    <w:color w:val="C0504D"/>
                  </w:rPr>
                  <w:fldChar w:fldCharType="end"/>
                </w:r>
              </w:p>
            </w:txbxContent>
          </v:textbox>
          <w10:wrap anchorx="margin" anchory="margin"/>
        </v:rect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3C30" w:rsidRDefault="00863C30" w:rsidP="004968C9">
      <w:pPr>
        <w:spacing w:after="0" w:line="240" w:lineRule="auto"/>
      </w:pPr>
      <w:r>
        <w:separator/>
      </w:r>
    </w:p>
  </w:footnote>
  <w:footnote w:type="continuationSeparator" w:id="0">
    <w:p w:rsidR="00863C30" w:rsidRDefault="00863C30" w:rsidP="004968C9">
      <w:pPr>
        <w:spacing w:after="0" w:line="240" w:lineRule="auto"/>
      </w:pPr>
      <w:r>
        <w:continuationSeparator/>
      </w:r>
    </w:p>
  </w:footnote>
  <w:footnote w:id="1">
    <w:p w:rsidR="00503EA5" w:rsidRDefault="00503EA5">
      <w:pPr>
        <w:pStyle w:val="Textodenotaderodap"/>
      </w:pPr>
      <w:r>
        <w:rPr>
          <w:rStyle w:val="Refdenotaderodap"/>
        </w:rPr>
        <w:footnoteRef/>
      </w:r>
      <w:r>
        <w:t xml:space="preserve"> As definições de Coeficiente de Aproveitamento (C.A.), Taxa de Ocupação (T.O.) e Taxa se Permeabilidade (T.P.) podem ser acessadas em: </w:t>
      </w:r>
      <w:hyperlink r:id="rId1" w:history="1">
        <w:r>
          <w:rPr>
            <w:rStyle w:val="Hyperlink"/>
          </w:rPr>
          <w:t>https://urbanidades.arq.br/2007/12/10/taxa-de-ocupacao-e-coeficiente-de-aproveitamento/</w:t>
        </w:r>
      </w:hyperlink>
      <w: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3EA5" w:rsidRDefault="00863C30" w:rsidP="00C04DDC">
    <w:pPr>
      <w:pStyle w:val="Cabealho"/>
      <w:tabs>
        <w:tab w:val="left" w:pos="709"/>
      </w:tabs>
      <w:spacing w:after="240"/>
      <w:ind w:left="-709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2" o:spid="_x0000_i1026" type="#_x0000_t75" style="width:484.5pt;height:96pt;visibility:visible">
          <v:imagedata r:id="rId1" o:title="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968C9"/>
    <w:rsid w:val="00011544"/>
    <w:rsid w:val="00016BA2"/>
    <w:rsid w:val="00031B40"/>
    <w:rsid w:val="00084E08"/>
    <w:rsid w:val="000A3059"/>
    <w:rsid w:val="000D7F32"/>
    <w:rsid w:val="000E185D"/>
    <w:rsid w:val="000E4986"/>
    <w:rsid w:val="000F26A7"/>
    <w:rsid w:val="001443AC"/>
    <w:rsid w:val="00151C01"/>
    <w:rsid w:val="001A6D19"/>
    <w:rsid w:val="001C14DB"/>
    <w:rsid w:val="0021765B"/>
    <w:rsid w:val="002514FF"/>
    <w:rsid w:val="00255337"/>
    <w:rsid w:val="00266178"/>
    <w:rsid w:val="002761E3"/>
    <w:rsid w:val="002910E7"/>
    <w:rsid w:val="00292A03"/>
    <w:rsid w:val="00292E2C"/>
    <w:rsid w:val="00296581"/>
    <w:rsid w:val="00297A3F"/>
    <w:rsid w:val="002A5F40"/>
    <w:rsid w:val="002C65BB"/>
    <w:rsid w:val="002C6F65"/>
    <w:rsid w:val="002D0883"/>
    <w:rsid w:val="002E5044"/>
    <w:rsid w:val="00307C52"/>
    <w:rsid w:val="00310EE6"/>
    <w:rsid w:val="003243BE"/>
    <w:rsid w:val="00341AFC"/>
    <w:rsid w:val="00347818"/>
    <w:rsid w:val="003714FA"/>
    <w:rsid w:val="00376C97"/>
    <w:rsid w:val="003843A9"/>
    <w:rsid w:val="00394541"/>
    <w:rsid w:val="003E6D78"/>
    <w:rsid w:val="004023ED"/>
    <w:rsid w:val="004049FD"/>
    <w:rsid w:val="00410B77"/>
    <w:rsid w:val="00421016"/>
    <w:rsid w:val="0042466E"/>
    <w:rsid w:val="00435944"/>
    <w:rsid w:val="004445EB"/>
    <w:rsid w:val="00477393"/>
    <w:rsid w:val="004968C9"/>
    <w:rsid w:val="004B05FD"/>
    <w:rsid w:val="004D27F4"/>
    <w:rsid w:val="004D7861"/>
    <w:rsid w:val="00503EA5"/>
    <w:rsid w:val="00522101"/>
    <w:rsid w:val="0053388F"/>
    <w:rsid w:val="00541231"/>
    <w:rsid w:val="00542A22"/>
    <w:rsid w:val="005521FD"/>
    <w:rsid w:val="005C63FC"/>
    <w:rsid w:val="005C782A"/>
    <w:rsid w:val="005F2FE9"/>
    <w:rsid w:val="00604DCD"/>
    <w:rsid w:val="006068CE"/>
    <w:rsid w:val="0062663C"/>
    <w:rsid w:val="0062706A"/>
    <w:rsid w:val="00642AAD"/>
    <w:rsid w:val="006948F0"/>
    <w:rsid w:val="00695936"/>
    <w:rsid w:val="006B3B91"/>
    <w:rsid w:val="006E48ED"/>
    <w:rsid w:val="007303C6"/>
    <w:rsid w:val="00741CAD"/>
    <w:rsid w:val="00743012"/>
    <w:rsid w:val="00745F94"/>
    <w:rsid w:val="00750690"/>
    <w:rsid w:val="007807C3"/>
    <w:rsid w:val="007A2489"/>
    <w:rsid w:val="007B49CC"/>
    <w:rsid w:val="007B4BC4"/>
    <w:rsid w:val="007E2BB6"/>
    <w:rsid w:val="007F0E0C"/>
    <w:rsid w:val="007F7621"/>
    <w:rsid w:val="008079F6"/>
    <w:rsid w:val="00813D86"/>
    <w:rsid w:val="00814EDA"/>
    <w:rsid w:val="00825A40"/>
    <w:rsid w:val="00863C30"/>
    <w:rsid w:val="008669C9"/>
    <w:rsid w:val="00867D69"/>
    <w:rsid w:val="00874CA5"/>
    <w:rsid w:val="0089261E"/>
    <w:rsid w:val="008A2A68"/>
    <w:rsid w:val="008C3E4E"/>
    <w:rsid w:val="008F1D5D"/>
    <w:rsid w:val="0091588C"/>
    <w:rsid w:val="00927E99"/>
    <w:rsid w:val="009474F0"/>
    <w:rsid w:val="00961F8F"/>
    <w:rsid w:val="009911B1"/>
    <w:rsid w:val="009B2009"/>
    <w:rsid w:val="009C64BF"/>
    <w:rsid w:val="009E328A"/>
    <w:rsid w:val="009F1D73"/>
    <w:rsid w:val="009F240B"/>
    <w:rsid w:val="009F3CA6"/>
    <w:rsid w:val="009F43B2"/>
    <w:rsid w:val="00A07C89"/>
    <w:rsid w:val="00A255C0"/>
    <w:rsid w:val="00A3618B"/>
    <w:rsid w:val="00A532FB"/>
    <w:rsid w:val="00A53C9F"/>
    <w:rsid w:val="00A75DD8"/>
    <w:rsid w:val="00A81180"/>
    <w:rsid w:val="00A87BB5"/>
    <w:rsid w:val="00AC1864"/>
    <w:rsid w:val="00AC4C04"/>
    <w:rsid w:val="00AD1C0D"/>
    <w:rsid w:val="00AD5E04"/>
    <w:rsid w:val="00AF2227"/>
    <w:rsid w:val="00AF59D1"/>
    <w:rsid w:val="00B25005"/>
    <w:rsid w:val="00B474E8"/>
    <w:rsid w:val="00B537FB"/>
    <w:rsid w:val="00B5587D"/>
    <w:rsid w:val="00B72E39"/>
    <w:rsid w:val="00B82C63"/>
    <w:rsid w:val="00BC05FA"/>
    <w:rsid w:val="00BF6FB1"/>
    <w:rsid w:val="00C04DDC"/>
    <w:rsid w:val="00C614D2"/>
    <w:rsid w:val="00C61FBA"/>
    <w:rsid w:val="00C87CB5"/>
    <w:rsid w:val="00CA6624"/>
    <w:rsid w:val="00CA71C4"/>
    <w:rsid w:val="00CB580C"/>
    <w:rsid w:val="00CF7B11"/>
    <w:rsid w:val="00D255FE"/>
    <w:rsid w:val="00D25B2C"/>
    <w:rsid w:val="00D5196D"/>
    <w:rsid w:val="00D53B4B"/>
    <w:rsid w:val="00D977C1"/>
    <w:rsid w:val="00DA7039"/>
    <w:rsid w:val="00DB04DF"/>
    <w:rsid w:val="00DD1B1F"/>
    <w:rsid w:val="00DE4DF7"/>
    <w:rsid w:val="00DE67D4"/>
    <w:rsid w:val="00DF7B87"/>
    <w:rsid w:val="00E32438"/>
    <w:rsid w:val="00EA132F"/>
    <w:rsid w:val="00EA58BA"/>
    <w:rsid w:val="00EA5F9F"/>
    <w:rsid w:val="00EC4077"/>
    <w:rsid w:val="00EC5915"/>
    <w:rsid w:val="00ED43E3"/>
    <w:rsid w:val="00ED65C2"/>
    <w:rsid w:val="00EF26AF"/>
    <w:rsid w:val="00F02496"/>
    <w:rsid w:val="00F24F86"/>
    <w:rsid w:val="00F31C95"/>
    <w:rsid w:val="00F373EF"/>
    <w:rsid w:val="00F47C85"/>
    <w:rsid w:val="00F73EB1"/>
    <w:rsid w:val="00F93570"/>
    <w:rsid w:val="00F97055"/>
    <w:rsid w:val="00FB6259"/>
    <w:rsid w:val="00FC60F1"/>
    <w:rsid w:val="00FC7253"/>
    <w:rsid w:val="00FF3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5:docId w15:val="{46AA7E29-8660-4510-A170-B71296121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68CE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4968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link w:val="Cabealho"/>
    <w:uiPriority w:val="99"/>
    <w:locked/>
    <w:rsid w:val="004968C9"/>
    <w:rPr>
      <w:rFonts w:cs="Times New Roman"/>
    </w:rPr>
  </w:style>
  <w:style w:type="paragraph" w:styleId="Rodap">
    <w:name w:val="footer"/>
    <w:basedOn w:val="Normal"/>
    <w:link w:val="RodapChar"/>
    <w:uiPriority w:val="99"/>
    <w:rsid w:val="004968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link w:val="Rodap"/>
    <w:uiPriority w:val="99"/>
    <w:locked/>
    <w:rsid w:val="004968C9"/>
    <w:rPr>
      <w:rFonts w:cs="Times New Roman"/>
    </w:rPr>
  </w:style>
  <w:style w:type="paragraph" w:styleId="Textodebalo">
    <w:name w:val="Balloon Text"/>
    <w:basedOn w:val="Normal"/>
    <w:link w:val="TextodebaloChar"/>
    <w:uiPriority w:val="99"/>
    <w:semiHidden/>
    <w:rsid w:val="00496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locked/>
    <w:rsid w:val="004968C9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3E6D78"/>
    <w:rPr>
      <w:rFonts w:cs="Times New Roman"/>
      <w:color w:val="0000FF"/>
      <w:u w:val="single"/>
    </w:rPr>
  </w:style>
  <w:style w:type="table" w:styleId="Tabelacomgrade">
    <w:name w:val="Table Grid"/>
    <w:basedOn w:val="Tabelanormal"/>
    <w:uiPriority w:val="99"/>
    <w:rsid w:val="00FF31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mentoClaro">
    <w:name w:val="Light Shading"/>
    <w:basedOn w:val="Tabelanormal"/>
    <w:uiPriority w:val="99"/>
    <w:rsid w:val="00FF31B9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UnresolvedMention">
    <w:name w:val="Unresolved Mention"/>
    <w:uiPriority w:val="99"/>
    <w:semiHidden/>
    <w:rsid w:val="009F3CA6"/>
    <w:rPr>
      <w:rFonts w:cs="Times New Roman"/>
      <w:color w:val="605E5C"/>
      <w:shd w:val="clear" w:color="auto" w:fill="E1DFDD"/>
    </w:rPr>
  </w:style>
  <w:style w:type="paragraph" w:styleId="Textodenotaderodap">
    <w:name w:val="footnote text"/>
    <w:basedOn w:val="Normal"/>
    <w:link w:val="TextodenotaderodapChar"/>
    <w:uiPriority w:val="99"/>
    <w:semiHidden/>
    <w:rsid w:val="00825A40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semiHidden/>
    <w:locked/>
    <w:rsid w:val="00825A40"/>
    <w:rPr>
      <w:rFonts w:cs="Times New Roman"/>
      <w:sz w:val="20"/>
      <w:szCs w:val="20"/>
    </w:rPr>
  </w:style>
  <w:style w:type="character" w:styleId="Refdenotaderodap">
    <w:name w:val="footnote reference"/>
    <w:uiPriority w:val="99"/>
    <w:semiHidden/>
    <w:rsid w:val="00825A40"/>
    <w:rPr>
      <w:rFonts w:cs="Times New Roman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lanalto.gov.br/ccivil_03/LEIS/LEIS_2001/L10257.htm" TargetMode="External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hyperlink" Target="https://consulta.siscam.com.br/camarajarinu/arquivo?Id=11762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lm.araujo@unesp.br" TargetMode="External"/><Relationship Id="rId11" Type="http://schemas.openxmlformats.org/officeDocument/2006/relationships/hyperlink" Target="https://daejundiai.com.br/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://www.campolimpopaulista.sp.gov.br/plano-diretor/perguntas-e-respostas-revisao-do-plano-diretor-campo-limpo-paulista.php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planalto.gov.br/ccivil_03/_Ato2015-2018/2015/Lei/L13089.htm" TargetMode="External"/><Relationship Id="rId14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urbanidades.arq.br/2007/12/10/taxa-de-ocupacao-e-coeficiente-de-aproveitamento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1624</Words>
  <Characters>8774</Characters>
  <Application>Microsoft Office Word</Application>
  <DocSecurity>0</DocSecurity>
  <Lines>73</Lines>
  <Paragraphs>20</Paragraphs>
  <ScaleCrop>false</ScaleCrop>
  <Company>Skatena INC.</Company>
  <LinksUpToDate>false</LinksUpToDate>
  <CharactersWithSpaces>10378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PERSPECTIVAS AMBIENTAIS PARA A BACIA HIDROGRÁFICA DO JUNDIAÍ MIRIM A PARTIR DE INSTRUMENTOS PREVISTOS PELA LEGISLAÇÃO URBANÍSTICA </dc:title>
  <dc:subject/>
  <dc:creator>Fernando</dc:creator>
  <cp:keywords/>
  <dc:description/>
  <cp:lastModifiedBy>letic</cp:lastModifiedBy>
  <cp:revision>3</cp:revision>
  <dcterms:created xsi:type="dcterms:W3CDTF">2019-11-11T15:07:00Z</dcterms:created>
  <dcterms:modified xsi:type="dcterms:W3CDTF">2019-11-11T16:29:00Z</dcterms:modified>
</cp:coreProperties>
</file>